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7CDA1" w14:textId="5BCA3A97" w:rsidR="00724036" w:rsidRDefault="00724036" w:rsidP="00937DD8">
      <w:pPr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u w:val="single"/>
          <w:shd w:val="clear" w:color="auto" w:fill="FFFFFF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CE4429" wp14:editId="44C78692">
            <wp:simplePos x="0" y="0"/>
            <wp:positionH relativeFrom="margin">
              <wp:posOffset>-473710</wp:posOffset>
            </wp:positionH>
            <wp:positionV relativeFrom="paragraph">
              <wp:posOffset>90805</wp:posOffset>
            </wp:positionV>
            <wp:extent cx="356428" cy="504000"/>
            <wp:effectExtent l="0" t="0" r="5715" b="0"/>
            <wp:wrapSquare wrapText="bothSides"/>
            <wp:docPr id="192307508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7508" name="Imagen 1923075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428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90170" w14:textId="3C58D6F4" w:rsidR="00724036" w:rsidRDefault="00724036" w:rsidP="00937DD8">
      <w:pPr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u w:val="single"/>
          <w:shd w:val="clear" w:color="auto" w:fill="FFFFFF"/>
          <w:lang w:eastAsia="es-ES"/>
          <w14:ligatures w14:val="none"/>
        </w:rPr>
      </w:pPr>
    </w:p>
    <w:p w14:paraId="6ED5DB47" w14:textId="77777777" w:rsidR="00724036" w:rsidRDefault="00724036" w:rsidP="00937DD8">
      <w:pPr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u w:val="single"/>
          <w:shd w:val="clear" w:color="auto" w:fill="FFFFFF"/>
          <w:lang w:eastAsia="es-ES"/>
          <w14:ligatures w14:val="none"/>
        </w:rPr>
      </w:pPr>
    </w:p>
    <w:p w14:paraId="5AD5E24F" w14:textId="1180A7B9" w:rsidR="00724036" w:rsidRPr="00724036" w:rsidRDefault="00724036" w:rsidP="00724036">
      <w:pPr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kern w:val="0"/>
          <w:sz w:val="36"/>
          <w:szCs w:val="36"/>
          <w:u w:val="single"/>
          <w:shd w:val="clear" w:color="auto" w:fill="FFFFFF"/>
          <w:lang w:eastAsia="es-ES"/>
          <w14:ligatures w14:val="none"/>
        </w:rPr>
      </w:pPr>
      <w:r w:rsidRPr="00724036">
        <w:rPr>
          <w:rFonts w:ascii="Segoe UI Historic" w:eastAsia="Times New Roman" w:hAnsi="Segoe UI Historic" w:cs="Segoe UI Historic"/>
          <w:b/>
          <w:bCs/>
          <w:color w:val="050505"/>
          <w:kern w:val="0"/>
          <w:sz w:val="36"/>
          <w:szCs w:val="36"/>
          <w:u w:val="single"/>
          <w:shd w:val="clear" w:color="auto" w:fill="FFFFFF"/>
          <w:lang w:eastAsia="es-ES"/>
          <w14:ligatures w14:val="none"/>
        </w:rPr>
        <w:t xml:space="preserve">Concurso </w:t>
      </w:r>
      <w:r w:rsidR="00504AAC">
        <w:rPr>
          <w:rFonts w:ascii="Segoe UI Historic" w:eastAsia="Times New Roman" w:hAnsi="Segoe UI Historic" w:cs="Segoe UI Historic"/>
          <w:b/>
          <w:bCs/>
          <w:color w:val="050505"/>
          <w:kern w:val="0"/>
          <w:sz w:val="36"/>
          <w:szCs w:val="36"/>
          <w:u w:val="single"/>
          <w:shd w:val="clear" w:color="auto" w:fill="FFFFFF"/>
          <w:lang w:eastAsia="es-ES"/>
          <w14:ligatures w14:val="none"/>
        </w:rPr>
        <w:t>Balcones</w:t>
      </w:r>
      <w:r w:rsidR="00362667">
        <w:rPr>
          <w:rFonts w:ascii="Segoe UI Historic" w:eastAsia="Times New Roman" w:hAnsi="Segoe UI Historic" w:cs="Segoe UI Historic"/>
          <w:b/>
          <w:bCs/>
          <w:color w:val="050505"/>
          <w:kern w:val="0"/>
          <w:sz w:val="36"/>
          <w:szCs w:val="36"/>
          <w:u w:val="single"/>
          <w:shd w:val="clear" w:color="auto" w:fill="FFFFFF"/>
          <w:lang w:eastAsia="es-ES"/>
          <w14:ligatures w14:val="none"/>
        </w:rPr>
        <w:t xml:space="preserve"> de</w:t>
      </w:r>
      <w:r w:rsidRPr="00724036">
        <w:rPr>
          <w:rFonts w:ascii="Segoe UI Historic" w:eastAsia="Times New Roman" w:hAnsi="Segoe UI Historic" w:cs="Segoe UI Historic"/>
          <w:b/>
          <w:bCs/>
          <w:color w:val="050505"/>
          <w:kern w:val="0"/>
          <w:sz w:val="36"/>
          <w:szCs w:val="36"/>
          <w:u w:val="single"/>
          <w:shd w:val="clear" w:color="auto" w:fill="FFFFFF"/>
          <w:lang w:eastAsia="es-ES"/>
          <w14:ligatures w14:val="none"/>
        </w:rPr>
        <w:t xml:space="preserve"> Navidad 202</w:t>
      </w:r>
      <w:r w:rsidR="002D182C">
        <w:rPr>
          <w:rFonts w:ascii="Segoe UI Historic" w:eastAsia="Times New Roman" w:hAnsi="Segoe UI Historic" w:cs="Segoe UI Historic"/>
          <w:b/>
          <w:bCs/>
          <w:color w:val="050505"/>
          <w:kern w:val="0"/>
          <w:sz w:val="36"/>
          <w:szCs w:val="36"/>
          <w:u w:val="single"/>
          <w:shd w:val="clear" w:color="auto" w:fill="FFFFFF"/>
          <w:lang w:eastAsia="es-ES"/>
          <w14:ligatures w14:val="none"/>
        </w:rPr>
        <w:t>4</w:t>
      </w:r>
    </w:p>
    <w:p w14:paraId="391420B6" w14:textId="4E1DCAA5" w:rsidR="00724036" w:rsidRDefault="00724036" w:rsidP="00937DD8">
      <w:pPr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</w:pPr>
    </w:p>
    <w:p w14:paraId="6FAA7743" w14:textId="73A89D0E" w:rsidR="00937DD8" w:rsidRPr="00724036" w:rsidRDefault="00937DD8" w:rsidP="00937DD8">
      <w:pPr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</w:pPr>
      <w:r w:rsidRPr="00937DD8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 xml:space="preserve"> El Ayuntamiento de 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Pétrola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 xml:space="preserve"> prop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one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 xml:space="preserve"> el Concurso de </w:t>
      </w:r>
      <w:r w:rsidR="00697DC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Balcones, Terrazas y Fachadas</w:t>
      </w:r>
      <w:r w:rsidR="003626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 xml:space="preserve"> de Navidad</w:t>
      </w:r>
      <w:r w:rsidR="00855058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.</w:t>
      </w:r>
    </w:p>
    <w:p w14:paraId="1C75F676" w14:textId="3E00F2F5" w:rsidR="00937DD8" w:rsidRPr="00724036" w:rsidRDefault="00937DD8" w:rsidP="00937DD8">
      <w:pPr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es-ES"/>
          <w14:ligatures w14:val="none"/>
        </w:rPr>
      </w:pP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es-ES"/>
          <w14:ligatures w14:val="none"/>
        </w:rPr>
        <w:br/>
      </w:r>
      <w:r w:rsidRPr="00724036">
        <w:rPr>
          <w:rFonts w:ascii="Segoe UI Historic" w:eastAsia="Times New Roman" w:hAnsi="Segoe UI Historic" w:cs="Segoe UI Historic"/>
          <w:noProof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drawing>
          <wp:inline distT="0" distB="0" distL="0" distR="0" wp14:anchorId="1DEEAB56" wp14:editId="4A51BFBD">
            <wp:extent cx="153035" cy="153035"/>
            <wp:effectExtent l="0" t="0" r="0" b="0"/>
            <wp:docPr id="2035734825" name="Imagen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 Pueden participar tod</w:t>
      </w:r>
      <w:r w:rsidR="002D182C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o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s l</w:t>
      </w:r>
      <w:r w:rsidR="00CA4972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os vecinos de Pétrola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que decoren sus </w:t>
      </w:r>
      <w:r w:rsidR="00697DC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 xml:space="preserve">Balcones, Terrazas y Fachadas </w:t>
      </w:r>
      <w:r w:rsidR="00CA4972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de Navidad</w:t>
      </w:r>
      <w:r w:rsidR="00356BDA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.</w:t>
      </w:r>
    </w:p>
    <w:p w14:paraId="4A13A1BF" w14:textId="136C8218" w:rsidR="00937DD8" w:rsidRDefault="00937DD8" w:rsidP="00937DD8">
      <w:pPr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</w:pP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es-ES"/>
          <w14:ligatures w14:val="none"/>
        </w:rPr>
        <w:br/>
      </w:r>
      <w:r w:rsidRPr="00724036">
        <w:rPr>
          <w:rFonts w:ascii="Segoe UI Historic" w:eastAsia="Times New Roman" w:hAnsi="Segoe UI Historic" w:cs="Segoe UI Historic"/>
          <w:noProof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drawing>
          <wp:inline distT="0" distB="0" distL="0" distR="0" wp14:anchorId="562B1461" wp14:editId="568279C6">
            <wp:extent cx="153035" cy="153035"/>
            <wp:effectExtent l="0" t="0" r="0" b="0"/>
            <wp:docPr id="1414104368" name="Imagen 14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✍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 Se valorará la originalidad, creatividad, calidad ornamental, armonía del conjunto, laboriosidad, iluminación y uso de materiales reutilizados</w:t>
      </w:r>
      <w:r w:rsidRPr="00724036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.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es-ES"/>
          <w14:ligatures w14:val="none"/>
        </w:rPr>
        <w:br/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es-ES"/>
          <w14:ligatures w14:val="none"/>
        </w:rPr>
        <w:br/>
      </w:r>
      <w:r w:rsidRPr="00724036">
        <w:rPr>
          <w:rFonts w:ascii="Segoe UI Historic" w:eastAsia="Times New Roman" w:hAnsi="Segoe UI Historic" w:cs="Segoe UI Historic"/>
          <w:noProof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drawing>
          <wp:inline distT="0" distB="0" distL="0" distR="0" wp14:anchorId="4DB9A235" wp14:editId="4990231F">
            <wp:extent cx="153035" cy="153035"/>
            <wp:effectExtent l="0" t="0" r="0" b="0"/>
            <wp:docPr id="172430744" name="Imagen 13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 Los PREMIOS serán de </w:t>
      </w:r>
      <w:r w:rsidRPr="00724036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un jamón 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para el primer premiado, </w:t>
      </w:r>
      <w:r w:rsidRPr="00724036">
        <w:rPr>
          <w:rFonts w:ascii="Segoe UI Historic" w:eastAsia="Times New Roman" w:hAnsi="Segoe UI Historic" w:cs="Segoe UI Historic"/>
          <w:noProof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un queso y una botella de vino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para el segundo y </w:t>
      </w:r>
      <w:r w:rsidRPr="00724036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salchichón-chorizo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para el tercero. </w:t>
      </w:r>
      <w:r w:rsidR="00724036" w:rsidRPr="00724036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Además,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todos los participantes recibirán su obsequio solo por formar parte de esta iniciativa</w:t>
      </w:r>
      <w:r w:rsidRPr="00724036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.</w:t>
      </w:r>
      <w:r w:rsidR="002D182C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El ganador </w:t>
      </w:r>
      <w:r w:rsidR="002A38D7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d</w:t>
      </w:r>
      <w:r w:rsidR="002D182C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el primer premio del año anterior</w:t>
      </w:r>
      <w:r w:rsidR="002A38D7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, </w:t>
      </w:r>
      <w:r w:rsidR="002D182C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no podrá obtenerlo de nuevo este año, si que podrá optar al 2º y 3º premio.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es-ES"/>
          <w14:ligatures w14:val="none"/>
        </w:rPr>
        <w:br/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es-ES"/>
          <w14:ligatures w14:val="none"/>
        </w:rPr>
        <w:br/>
      </w:r>
      <w:r w:rsidRPr="00724036">
        <w:rPr>
          <w:rFonts w:ascii="Segoe UI Historic" w:eastAsia="Times New Roman" w:hAnsi="Segoe UI Historic" w:cs="Segoe UI Historic"/>
          <w:noProof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drawing>
          <wp:inline distT="0" distB="0" distL="0" distR="0" wp14:anchorId="31BA1064" wp14:editId="68C9C71D">
            <wp:extent cx="153035" cy="153035"/>
            <wp:effectExtent l="0" t="0" r="0" b="0"/>
            <wp:docPr id="854458329" name="Imagen 1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 Para participar tienes que rellenar una solicitud del 1 al 1</w:t>
      </w:r>
      <w:r w:rsidR="002D182C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3 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de diciembre, </w:t>
      </w:r>
      <w:r w:rsidRPr="00724036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en el ayuntamiento 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de manera presencial, a través de correo electrónico </w:t>
      </w:r>
      <w:hyperlink r:id="rId10" w:history="1">
        <w:r w:rsidRPr="00724036">
          <w:rPr>
            <w:rStyle w:val="Hipervnculo"/>
            <w:rFonts w:ascii="Segoe UI Historic" w:eastAsia="Times New Roman" w:hAnsi="Segoe UI Historic" w:cs="Segoe UI Historic"/>
            <w:kern w:val="0"/>
            <w:sz w:val="24"/>
            <w:szCs w:val="24"/>
            <w:shd w:val="clear" w:color="auto" w:fill="FFFFFF"/>
            <w:lang w:eastAsia="es-ES"/>
            <w14:ligatures w14:val="none"/>
          </w:rPr>
          <w:t>petrola</w:t>
        </w:r>
        <w:r w:rsidRPr="00724036">
          <w:rPr>
            <w:rStyle w:val="Hipervnculo"/>
            <w:sz w:val="24"/>
            <w:szCs w:val="24"/>
          </w:rPr>
          <w:t>@dipualba.es</w:t>
        </w:r>
      </w:hyperlink>
      <w:r w:rsidRPr="00724036">
        <w:rPr>
          <w:sz w:val="24"/>
          <w:szCs w:val="24"/>
        </w:rPr>
        <w:t xml:space="preserve"> 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o telefónicamente en el </w:t>
      </w:r>
      <w:r w:rsidRPr="00724036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967286000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, facilitando datos de contacto: nombre, apellidos, teléfono, DNI</w:t>
      </w:r>
      <w:r w:rsidR="007F2591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.</w:t>
      </w:r>
      <w:r w:rsidRPr="00937DD8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</w:t>
      </w:r>
    </w:p>
    <w:p w14:paraId="6A4A38EE" w14:textId="01D023E5" w:rsidR="00D428A6" w:rsidRPr="005367C9" w:rsidRDefault="00D428A6" w:rsidP="00B0110E">
      <w:pPr>
        <w:pStyle w:val="Prrafodelista"/>
        <w:numPr>
          <w:ilvl w:val="0"/>
          <w:numId w:val="2"/>
        </w:numPr>
        <w:jc w:val="both"/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</w:pPr>
      <w:r w:rsidRPr="005367C9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El jurado visitará los </w:t>
      </w:r>
      <w:r w:rsidRPr="005367C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 xml:space="preserve">Balcones, Terrazas y Fachadas el día </w:t>
      </w:r>
      <w:r w:rsidR="005367C9" w:rsidRPr="005367C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2</w:t>
      </w:r>
      <w:r w:rsidR="002D182C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2</w:t>
      </w:r>
      <w:r w:rsidR="005367C9" w:rsidRPr="005367C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 xml:space="preserve"> de diciembre a partir de las </w:t>
      </w:r>
      <w:r w:rsidR="002D182C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19</w:t>
      </w:r>
      <w:r w:rsidR="005367C9" w:rsidRPr="005367C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:00h</w:t>
      </w:r>
    </w:p>
    <w:p w14:paraId="35998CAC" w14:textId="034229E1" w:rsidR="00937DD8" w:rsidRPr="00724036" w:rsidRDefault="00937DD8" w:rsidP="00937DD8">
      <w:pPr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</w:pPr>
    </w:p>
    <w:p w14:paraId="1F1BB47D" w14:textId="77777777" w:rsidR="00724036" w:rsidRDefault="00724036" w:rsidP="00937DD8">
      <w:pPr>
        <w:jc w:val="right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</w:pPr>
    </w:p>
    <w:p w14:paraId="1614D8A2" w14:textId="73259C80" w:rsidR="00937DD8" w:rsidRDefault="00937DD8" w:rsidP="00937DD8">
      <w:pPr>
        <w:jc w:val="right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Pétrola</w:t>
      </w:r>
      <w:r w:rsidR="0072403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,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 xml:space="preserve"> a </w:t>
      </w:r>
      <w:r w:rsidR="002D182C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18</w:t>
      </w:r>
      <w:r w:rsidR="0072403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 xml:space="preserve"> noviembre 202</w:t>
      </w:r>
      <w:r w:rsidR="002D182C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4</w:t>
      </w:r>
    </w:p>
    <w:p w14:paraId="619E71CF" w14:textId="77777777" w:rsidR="00937DD8" w:rsidRDefault="00937DD8" w:rsidP="00937DD8">
      <w:pPr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</w:pPr>
    </w:p>
    <w:p w14:paraId="6F9D973E" w14:textId="53A452AC" w:rsidR="00937DD8" w:rsidRPr="00937DD8" w:rsidRDefault="00937DD8" w:rsidP="00937D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E30F8EC" w14:textId="09F43458" w:rsidR="00937DD8" w:rsidRPr="00937DD8" w:rsidRDefault="00937DD8" w:rsidP="00937DD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eastAsia="es-ES"/>
          <w14:ligatures w14:val="none"/>
        </w:rPr>
      </w:pPr>
    </w:p>
    <w:p w14:paraId="066F0392" w14:textId="1541BF68" w:rsidR="0071732F" w:rsidRDefault="0071732F"/>
    <w:sectPr w:rsidR="00717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🏠" style="width:18.5pt;height:18.5pt;visibility:visible;mso-wrap-style:square" o:bullet="t">
        <v:imagedata r:id="rId1" o:title="🏠"/>
      </v:shape>
    </w:pict>
  </w:numPicBullet>
  <w:abstractNum w:abstractNumId="0" w15:restartNumberingAfterBreak="0">
    <w:nsid w:val="5E0075C5"/>
    <w:multiLevelType w:val="hybridMultilevel"/>
    <w:tmpl w:val="A1105018"/>
    <w:lvl w:ilvl="0" w:tplc="2ED06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89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CE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0B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E9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1C8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604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E9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EA3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A1E18AA"/>
    <w:multiLevelType w:val="hybridMultilevel"/>
    <w:tmpl w:val="EEA49E32"/>
    <w:lvl w:ilvl="0" w:tplc="656A1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6B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62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965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28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44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43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4A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EA5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38415221">
    <w:abstractNumId w:val="0"/>
  </w:num>
  <w:num w:numId="2" w16cid:durableId="156271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D8"/>
    <w:rsid w:val="00101B42"/>
    <w:rsid w:val="001C4EF6"/>
    <w:rsid w:val="002A38D7"/>
    <w:rsid w:val="002D182C"/>
    <w:rsid w:val="00356BDA"/>
    <w:rsid w:val="00362667"/>
    <w:rsid w:val="003A4757"/>
    <w:rsid w:val="004B15D4"/>
    <w:rsid w:val="00504AAC"/>
    <w:rsid w:val="005367C9"/>
    <w:rsid w:val="0068704F"/>
    <w:rsid w:val="00697DC7"/>
    <w:rsid w:val="0071732F"/>
    <w:rsid w:val="00724036"/>
    <w:rsid w:val="00775159"/>
    <w:rsid w:val="007F2591"/>
    <w:rsid w:val="00820338"/>
    <w:rsid w:val="00855058"/>
    <w:rsid w:val="00937DD8"/>
    <w:rsid w:val="00B0110E"/>
    <w:rsid w:val="00CA4972"/>
    <w:rsid w:val="00D428A6"/>
    <w:rsid w:val="00D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C307"/>
  <w15:chartTrackingRefBased/>
  <w15:docId w15:val="{DA11AD85-588B-4090-9B0B-535B1998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7DD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7DD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3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petrola@dipualba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Clemencia García Núñez</dc:creator>
  <cp:keywords/>
  <dc:description/>
  <cp:lastModifiedBy>Clemencia García Núñez</cp:lastModifiedBy>
  <cp:revision>3</cp:revision>
  <dcterms:created xsi:type="dcterms:W3CDTF">2024-11-17T17:48:00Z</dcterms:created>
  <dcterms:modified xsi:type="dcterms:W3CDTF">2024-11-17T20:46:00Z</dcterms:modified>
</cp:coreProperties>
</file>