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3E" w:rsidRDefault="00E7533E" w:rsidP="00AF1816">
      <w:p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</w:pPr>
    </w:p>
    <w:p w:rsidR="00E7533E" w:rsidRDefault="00E7533E" w:rsidP="00E7533E">
      <w:p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</w:pPr>
      <w:r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SE INFORMA A TODAS LAS PERSONAS MAYORES O  PENSIONISTAS DE LA SEGURIDAD SOCIAL DE QUE EL PROGRAMA DE TERMALISMO SOCIAL SE HA CONVOCADO.</w:t>
      </w:r>
    </w:p>
    <w:p w:rsidR="00AF1816" w:rsidRPr="00AF1816" w:rsidRDefault="00E7533E" w:rsidP="00AF1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</w:pPr>
      <w:r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P</w:t>
      </w:r>
      <w:r w:rsidR="00AF1816"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 xml:space="preserve">odrán participar en </w:t>
      </w:r>
      <w:r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 xml:space="preserve">este </w:t>
      </w:r>
      <w:r w:rsidR="00AF1816"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Pr</w:t>
      </w:r>
      <w:r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 xml:space="preserve">ograma </w:t>
      </w:r>
      <w:r w:rsidR="00AF1816"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, las personas residentes en España, que reúnan alguno de los siguientes requisitos:</w:t>
      </w:r>
    </w:p>
    <w:p w:rsidR="00AF1816" w:rsidRPr="00AF1816" w:rsidRDefault="00AF1816" w:rsidP="00AF181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</w:pPr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Ser pensionista de jubilación o incapacidad permanente del Sistema de Seguridad Social español.</w:t>
      </w:r>
    </w:p>
    <w:p w:rsidR="00AF1816" w:rsidRPr="00AF1816" w:rsidRDefault="00AF1816" w:rsidP="00AF181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</w:pPr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Ser pensionista de viudedad con cincuenta y cinco o más años de edad del Sistema de Seguridad Social español.</w:t>
      </w:r>
    </w:p>
    <w:p w:rsidR="00AF1816" w:rsidRPr="00AF1816" w:rsidRDefault="00AF1816" w:rsidP="00AF181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</w:pPr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Ser pensionista por otros conceptos o perceptor de prestaciones o subsidios de desempleo, con sesenta o más años de edad del Sistema de Seguridad Social español.</w:t>
      </w:r>
    </w:p>
    <w:p w:rsidR="00AF1816" w:rsidRPr="00AF1816" w:rsidRDefault="00AF1816" w:rsidP="00AF181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</w:pPr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Ser persona asegurada o beneficiaria del Sistema de la Seguridad Social español, con sesenta y cinco o más años de edad.</w:t>
      </w:r>
    </w:p>
    <w:p w:rsidR="00AF1816" w:rsidRPr="00AF1816" w:rsidRDefault="00AF1816" w:rsidP="00AF1816">
      <w:pPr>
        <w:shd w:val="clear" w:color="auto" w:fill="FFFFFF"/>
        <w:spacing w:after="100" w:afterAutospacing="1" w:line="240" w:lineRule="auto"/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</w:pPr>
      <w:r>
        <w:rPr>
          <w:rFonts w:ascii="Atkinson-bold" w:eastAsia="Times New Roman" w:hAnsi="Atkinson-bold" w:cs="Times New Roman"/>
          <w:color w:val="333333"/>
          <w:sz w:val="24"/>
          <w:szCs w:val="24"/>
          <w:lang w:eastAsia="es-ES"/>
        </w:rPr>
        <w:t>L</w:t>
      </w:r>
      <w:r w:rsidRPr="00AF1816">
        <w:rPr>
          <w:rFonts w:ascii="Atkinson-bold" w:eastAsia="Times New Roman" w:hAnsi="Atkinson-bold" w:cs="Times New Roman"/>
          <w:color w:val="333333"/>
          <w:sz w:val="24"/>
          <w:szCs w:val="24"/>
          <w:lang w:eastAsia="es-ES"/>
        </w:rPr>
        <w:t xml:space="preserve">as solicitudes de participación en el </w:t>
      </w:r>
      <w:r w:rsidR="005A7303">
        <w:rPr>
          <w:rFonts w:ascii="Atkinson-bold" w:eastAsia="Times New Roman" w:hAnsi="Atkinson-bold" w:cs="Times New Roman"/>
          <w:color w:val="333333"/>
          <w:sz w:val="24"/>
          <w:szCs w:val="24"/>
          <w:lang w:eastAsia="es-ES"/>
        </w:rPr>
        <w:t>programa de termalismo para 2025</w:t>
      </w:r>
      <w:r w:rsidRPr="00AF1816">
        <w:rPr>
          <w:rFonts w:ascii="Atkinson-bold" w:eastAsia="Times New Roman" w:hAnsi="Atkinson-bold" w:cs="Times New Roman"/>
          <w:color w:val="333333"/>
          <w:sz w:val="24"/>
          <w:szCs w:val="24"/>
          <w:lang w:eastAsia="es-ES"/>
        </w:rPr>
        <w:t xml:space="preserve"> deberán ser presentadas, conforme a los dos plazos establecidos.</w:t>
      </w:r>
    </w:p>
    <w:p w:rsidR="00AF1816" w:rsidRPr="00E7533E" w:rsidRDefault="00AF1816" w:rsidP="00AF18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</w:pPr>
      <w:r w:rsidRPr="00E7533E"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  <w:t>Para participar en el </w:t>
      </w:r>
      <w:r w:rsidRPr="00E7533E">
        <w:rPr>
          <w:rFonts w:ascii="Atkinson-bold" w:eastAsia="Times New Roman" w:hAnsi="Atkinson-bold" w:cs="Times New Roman"/>
          <w:b/>
          <w:color w:val="333333"/>
          <w:sz w:val="24"/>
          <w:szCs w:val="24"/>
          <w:lang w:eastAsia="es-ES"/>
        </w:rPr>
        <w:t>proceso de adjudicación de plaza</w:t>
      </w:r>
      <w:r w:rsidRPr="00E7533E"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  <w:t>:</w:t>
      </w:r>
    </w:p>
    <w:p w:rsidR="00AF1816" w:rsidRPr="00E7533E" w:rsidRDefault="00AF1816" w:rsidP="00AF18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</w:pPr>
      <w:proofErr w:type="gramStart"/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1.º</w:t>
      </w:r>
      <w:proofErr w:type="gramEnd"/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 xml:space="preserve"> Para los </w:t>
      </w:r>
      <w:r w:rsidRPr="00AF1816">
        <w:rPr>
          <w:rFonts w:ascii="Atkinson-bold" w:eastAsia="Times New Roman" w:hAnsi="Atkinson-bold" w:cs="Times New Roman"/>
          <w:color w:val="333333"/>
          <w:sz w:val="24"/>
          <w:szCs w:val="24"/>
          <w:lang w:eastAsia="es-ES"/>
        </w:rPr>
        <w:t>turnos de los meses de febrero a agosto</w:t>
      </w:r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, ambos inclusive: </w:t>
      </w:r>
      <w:r w:rsidR="005A7303">
        <w:rPr>
          <w:rFonts w:ascii="Atkinson-bold" w:eastAsia="Times New Roman" w:hAnsi="Atkinson-bold" w:cs="Times New Roman"/>
          <w:b/>
          <w:color w:val="333333"/>
          <w:sz w:val="24"/>
          <w:szCs w:val="24"/>
          <w:lang w:eastAsia="es-ES"/>
        </w:rPr>
        <w:t>hasta el día 09 de enero de 2025</w:t>
      </w:r>
      <w:r w:rsidRPr="00E7533E"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  <w:t>.</w:t>
      </w:r>
    </w:p>
    <w:p w:rsidR="00AF1816" w:rsidRPr="00E7533E" w:rsidRDefault="00AF1816" w:rsidP="00AF18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</w:pPr>
      <w:proofErr w:type="gramStart"/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2.º</w:t>
      </w:r>
      <w:proofErr w:type="gramEnd"/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 xml:space="preserve"> Para los </w:t>
      </w:r>
      <w:r w:rsidRPr="00AF1816">
        <w:rPr>
          <w:rFonts w:ascii="Atkinson-bold" w:eastAsia="Times New Roman" w:hAnsi="Atkinson-bold" w:cs="Times New Roman"/>
          <w:color w:val="333333"/>
          <w:sz w:val="24"/>
          <w:szCs w:val="24"/>
          <w:lang w:eastAsia="es-ES"/>
        </w:rPr>
        <w:t xml:space="preserve">turnos de los meses de septiembre a diciembre: </w:t>
      </w:r>
      <w:r w:rsidR="005A7303">
        <w:rPr>
          <w:rFonts w:ascii="Atkinson-bold" w:eastAsia="Times New Roman" w:hAnsi="Atkinson-bold" w:cs="Times New Roman"/>
          <w:b/>
          <w:color w:val="333333"/>
          <w:sz w:val="24"/>
          <w:szCs w:val="24"/>
          <w:lang w:eastAsia="es-ES"/>
        </w:rPr>
        <w:t>hasta el día 15 de mayo de 2025</w:t>
      </w:r>
      <w:r w:rsidRPr="00E7533E"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  <w:t>.</w:t>
      </w:r>
    </w:p>
    <w:p w:rsidR="00AF1816" w:rsidRPr="00AF1816" w:rsidRDefault="00AF1816" w:rsidP="00AF18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</w:pPr>
      <w:r w:rsidRPr="00E7533E"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  <w:t>Para su </w:t>
      </w:r>
      <w:r w:rsidRPr="00E7533E">
        <w:rPr>
          <w:rFonts w:ascii="Atkinson-bold" w:eastAsia="Times New Roman" w:hAnsi="Atkinson-bold" w:cs="Times New Roman"/>
          <w:b/>
          <w:color w:val="333333"/>
          <w:sz w:val="24"/>
          <w:szCs w:val="24"/>
          <w:lang w:eastAsia="es-ES"/>
        </w:rPr>
        <w:t>inclusión en la Lista de Espera de plazas</w:t>
      </w:r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, para cubrir las plazas que vayan quedando vacantes por renuncias u otras circunstancias:</w:t>
      </w:r>
    </w:p>
    <w:p w:rsidR="00AF1816" w:rsidRPr="00E7533E" w:rsidRDefault="00AF1816" w:rsidP="00AF18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</w:pPr>
      <w:proofErr w:type="gramStart"/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1.º</w:t>
      </w:r>
      <w:proofErr w:type="gramEnd"/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 xml:space="preserve"> Para los </w:t>
      </w:r>
      <w:r w:rsidRPr="00AF1816">
        <w:rPr>
          <w:rFonts w:ascii="Atkinson-bold" w:eastAsia="Times New Roman" w:hAnsi="Atkinson-bold" w:cs="Times New Roman"/>
          <w:color w:val="333333"/>
          <w:sz w:val="24"/>
          <w:szCs w:val="24"/>
          <w:lang w:eastAsia="es-ES"/>
        </w:rPr>
        <w:t>turnos de los meses de febrero a agosto</w:t>
      </w:r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, ambos inclusive: </w:t>
      </w:r>
      <w:r w:rsidR="005A7303">
        <w:rPr>
          <w:rFonts w:ascii="Atkinson-bold" w:eastAsia="Times New Roman" w:hAnsi="Atkinson-bold" w:cs="Times New Roman"/>
          <w:b/>
          <w:color w:val="333333"/>
          <w:sz w:val="24"/>
          <w:szCs w:val="24"/>
          <w:lang w:eastAsia="es-ES"/>
        </w:rPr>
        <w:t>hasta el día 14 de mayo de 2025</w:t>
      </w:r>
      <w:r w:rsidRPr="00E7533E"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  <w:t>.</w:t>
      </w:r>
    </w:p>
    <w:p w:rsidR="00AF1816" w:rsidRDefault="00AF1816" w:rsidP="00AF18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</w:pPr>
      <w:proofErr w:type="gramStart"/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2.º</w:t>
      </w:r>
      <w:proofErr w:type="gramEnd"/>
      <w:r w:rsidRPr="00AF1816"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 xml:space="preserve"> Para los</w:t>
      </w:r>
      <w:r w:rsidRPr="00AF1816">
        <w:rPr>
          <w:rFonts w:ascii="Atkinson-bold" w:eastAsia="Times New Roman" w:hAnsi="Atkinson-bold" w:cs="Times New Roman"/>
          <w:color w:val="333333"/>
          <w:sz w:val="24"/>
          <w:szCs w:val="24"/>
          <w:lang w:eastAsia="es-ES"/>
        </w:rPr>
        <w:t xml:space="preserve"> turnos de los meses de septiembre a diciembre: hasta el día </w:t>
      </w:r>
      <w:r w:rsidR="005A7303">
        <w:rPr>
          <w:rFonts w:ascii="Atkinson-bold" w:eastAsia="Times New Roman" w:hAnsi="Atkinson-bold" w:cs="Times New Roman"/>
          <w:b/>
          <w:color w:val="333333"/>
          <w:sz w:val="24"/>
          <w:szCs w:val="24"/>
          <w:lang w:eastAsia="es-ES"/>
        </w:rPr>
        <w:t>31 de octubre</w:t>
      </w:r>
      <w:bookmarkStart w:id="0" w:name="_GoBack"/>
      <w:bookmarkEnd w:id="0"/>
      <w:r w:rsidR="005A7303">
        <w:rPr>
          <w:rFonts w:ascii="Atkinson-bold" w:eastAsia="Times New Roman" w:hAnsi="Atkinson-bold" w:cs="Times New Roman"/>
          <w:b/>
          <w:color w:val="333333"/>
          <w:sz w:val="24"/>
          <w:szCs w:val="24"/>
          <w:lang w:eastAsia="es-ES"/>
        </w:rPr>
        <w:t xml:space="preserve"> </w:t>
      </w:r>
      <w:proofErr w:type="spellStart"/>
      <w:r w:rsidR="005A7303">
        <w:rPr>
          <w:rFonts w:ascii="Atkinson-bold" w:eastAsia="Times New Roman" w:hAnsi="Atkinson-bold" w:cs="Times New Roman"/>
          <w:b/>
          <w:color w:val="333333"/>
          <w:sz w:val="24"/>
          <w:szCs w:val="24"/>
          <w:lang w:eastAsia="es-ES"/>
        </w:rPr>
        <w:t>de</w:t>
      </w:r>
      <w:proofErr w:type="spellEnd"/>
      <w:r w:rsidR="005A7303">
        <w:rPr>
          <w:rFonts w:ascii="Atkinson-bold" w:eastAsia="Times New Roman" w:hAnsi="Atkinson-bold" w:cs="Times New Roman"/>
          <w:b/>
          <w:color w:val="333333"/>
          <w:sz w:val="24"/>
          <w:szCs w:val="24"/>
          <w:lang w:eastAsia="es-ES"/>
        </w:rPr>
        <w:t xml:space="preserve"> 2025</w:t>
      </w:r>
      <w:r w:rsidRPr="00E7533E"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  <w:t>.</w:t>
      </w:r>
    </w:p>
    <w:p w:rsidR="00E7533E" w:rsidRPr="00E7533E" w:rsidRDefault="00E7533E" w:rsidP="00E7533E">
      <w:p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</w:pPr>
      <w:r>
        <w:rPr>
          <w:rFonts w:ascii="Atkinson-regular" w:eastAsia="Times New Roman" w:hAnsi="Atkinson-regular" w:cs="Times New Roman"/>
          <w:color w:val="333333"/>
          <w:sz w:val="24"/>
          <w:szCs w:val="24"/>
          <w:lang w:eastAsia="es-ES"/>
        </w:rPr>
        <w:t>Para más información pregunta a la Trabajadora Social de tu ayuntamiento.</w:t>
      </w:r>
    </w:p>
    <w:p w:rsidR="00E7533E" w:rsidRPr="00E7533E" w:rsidRDefault="00E7533E" w:rsidP="00E7533E">
      <w:pPr>
        <w:shd w:val="clear" w:color="auto" w:fill="FFFFFF"/>
        <w:spacing w:before="100" w:beforeAutospacing="1" w:after="100" w:afterAutospacing="1" w:line="240" w:lineRule="auto"/>
        <w:rPr>
          <w:rFonts w:ascii="Atkinson-regular" w:eastAsia="Times New Roman" w:hAnsi="Atkinson-regular" w:cs="Times New Roman"/>
          <w:b/>
          <w:color w:val="333333"/>
          <w:sz w:val="24"/>
          <w:szCs w:val="24"/>
          <w:lang w:eastAsia="es-ES"/>
        </w:rPr>
      </w:pPr>
    </w:p>
    <w:sectPr w:rsidR="00E7533E" w:rsidRPr="00E75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kinson-regular">
    <w:altName w:val="Times New Roman"/>
    <w:panose1 w:val="00000000000000000000"/>
    <w:charset w:val="00"/>
    <w:family w:val="roman"/>
    <w:notTrueType/>
    <w:pitch w:val="default"/>
  </w:font>
  <w:font w:name="Atkinson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658C2"/>
    <w:multiLevelType w:val="multilevel"/>
    <w:tmpl w:val="829C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05D2B"/>
    <w:multiLevelType w:val="multilevel"/>
    <w:tmpl w:val="E53E2D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A6"/>
    <w:rsid w:val="003C0EB1"/>
    <w:rsid w:val="005A7303"/>
    <w:rsid w:val="00656FA6"/>
    <w:rsid w:val="008F2D5C"/>
    <w:rsid w:val="00AF1816"/>
    <w:rsid w:val="00E7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0A59-7F5E-4B7C-819D-110C64C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F1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Pobre Jiménez</dc:creator>
  <cp:keywords/>
  <dc:description/>
  <cp:lastModifiedBy>Eloisa Pobre Jiménez</cp:lastModifiedBy>
  <cp:revision>4</cp:revision>
  <dcterms:created xsi:type="dcterms:W3CDTF">2024-12-18T08:15:00Z</dcterms:created>
  <dcterms:modified xsi:type="dcterms:W3CDTF">2024-12-18T08:24:00Z</dcterms:modified>
</cp:coreProperties>
</file>